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BBCF1" w14:textId="60B2E79D" w:rsidR="00A7593A" w:rsidRDefault="00F06D31" w:rsidP="00A7593A">
      <w:pPr>
        <w:rPr>
          <w:b/>
          <w:bCs/>
          <w:lang w:val="en-US"/>
        </w:rPr>
      </w:pPr>
      <w:r>
        <w:rPr>
          <w:b/>
          <w:bCs/>
          <w:lang w:val="en-US"/>
        </w:rPr>
        <w:t xml:space="preserve">                     </w:t>
      </w:r>
      <w:r w:rsidR="00CC44BF" w:rsidRPr="00CC44BF">
        <w:rPr>
          <w:b/>
          <w:bCs/>
          <w:noProof/>
          <w:lang w:val="en-US"/>
        </w:rPr>
        <w:drawing>
          <wp:inline distT="0" distB="0" distL="0" distR="0" wp14:anchorId="027682D2" wp14:editId="06275FDD">
            <wp:extent cx="5572125" cy="1366366"/>
            <wp:effectExtent l="0" t="0" r="0" b="5715"/>
            <wp:docPr id="4106215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2658" cy="1368949"/>
                    </a:xfrm>
                    <a:prstGeom prst="rect">
                      <a:avLst/>
                    </a:prstGeom>
                    <a:noFill/>
                    <a:ln>
                      <a:noFill/>
                    </a:ln>
                  </pic:spPr>
                </pic:pic>
              </a:graphicData>
            </a:graphic>
          </wp:inline>
        </w:drawing>
      </w:r>
    </w:p>
    <w:p w14:paraId="4853E6C1" w14:textId="77777777" w:rsidR="00A7593A" w:rsidRDefault="00A7593A" w:rsidP="00A7593A">
      <w:pPr>
        <w:rPr>
          <w:b/>
          <w:bCs/>
          <w:lang w:val="en-US"/>
        </w:rPr>
      </w:pPr>
    </w:p>
    <w:p w14:paraId="016EE7A3" w14:textId="77777777" w:rsidR="00A7593A" w:rsidRDefault="00A7593A" w:rsidP="00A7593A">
      <w:pPr>
        <w:rPr>
          <w:b/>
          <w:bCs/>
          <w:lang w:val="en-US"/>
        </w:rPr>
      </w:pPr>
    </w:p>
    <w:p w14:paraId="51A99201" w14:textId="77777777" w:rsidR="00A7593A" w:rsidRDefault="00A7593A" w:rsidP="00A7593A">
      <w:pPr>
        <w:rPr>
          <w:b/>
          <w:bCs/>
          <w:lang w:val="en-US"/>
        </w:rPr>
      </w:pPr>
    </w:p>
    <w:p w14:paraId="183B7FCB" w14:textId="77777777" w:rsidR="00A7593A" w:rsidRDefault="00A7593A" w:rsidP="00A7593A">
      <w:pPr>
        <w:rPr>
          <w:b/>
          <w:bCs/>
          <w:lang w:val="en-US"/>
        </w:rPr>
      </w:pPr>
    </w:p>
    <w:p w14:paraId="1637C658" w14:textId="77777777" w:rsidR="00A7593A" w:rsidRDefault="00A7593A" w:rsidP="00A7593A">
      <w:pPr>
        <w:rPr>
          <w:b/>
          <w:bCs/>
          <w:lang w:val="en-US"/>
        </w:rPr>
      </w:pPr>
    </w:p>
    <w:p w14:paraId="2806E7DC" w14:textId="77777777" w:rsidR="00A7593A" w:rsidRDefault="00A7593A" w:rsidP="00A7593A">
      <w:pPr>
        <w:rPr>
          <w:b/>
          <w:bCs/>
          <w:lang w:val="en-US"/>
        </w:rPr>
      </w:pPr>
    </w:p>
    <w:p w14:paraId="227B882D" w14:textId="77777777" w:rsidR="00A7593A" w:rsidRPr="00A7593A" w:rsidRDefault="00A7593A" w:rsidP="00A7593A">
      <w:pPr>
        <w:pStyle w:val="Titolo1"/>
        <w:rPr>
          <w:lang w:val="en-US"/>
        </w:rPr>
      </w:pPr>
    </w:p>
    <w:p w14:paraId="1A15DFE5" w14:textId="77777777" w:rsidR="00F06D31" w:rsidRDefault="00A7593A" w:rsidP="00A7593A">
      <w:pPr>
        <w:pStyle w:val="Titolo1"/>
        <w:rPr>
          <w:lang w:val="en-US"/>
        </w:rPr>
      </w:pPr>
      <w:r>
        <w:rPr>
          <w:lang w:val="en-US"/>
        </w:rPr>
        <w:t xml:space="preserve">           </w:t>
      </w:r>
    </w:p>
    <w:p w14:paraId="1B2E4D3B" w14:textId="037BEB48" w:rsidR="00A7593A" w:rsidRPr="00A7593A" w:rsidRDefault="00F06D31" w:rsidP="00A7593A">
      <w:pPr>
        <w:pStyle w:val="Titolo1"/>
        <w:rPr>
          <w:b/>
          <w:bCs/>
          <w:i/>
          <w:iCs/>
          <w:lang w:val="en-US"/>
        </w:rPr>
      </w:pPr>
      <w:r>
        <w:rPr>
          <w:lang w:val="en-US"/>
        </w:rPr>
        <w:t xml:space="preserve">          </w:t>
      </w:r>
      <w:r w:rsidR="00A7593A" w:rsidRPr="00A7593A">
        <w:rPr>
          <w:b/>
          <w:bCs/>
          <w:i/>
          <w:iCs/>
          <w:lang w:val="en-US"/>
        </w:rPr>
        <w:t>OPERATI</w:t>
      </w:r>
      <w:r w:rsidR="004B4594">
        <w:rPr>
          <w:b/>
          <w:bCs/>
          <w:i/>
          <w:iCs/>
          <w:lang w:val="en-US"/>
        </w:rPr>
        <w:t>ONAL</w:t>
      </w:r>
      <w:r w:rsidR="00A7593A" w:rsidRPr="00A7593A">
        <w:rPr>
          <w:b/>
          <w:bCs/>
          <w:i/>
          <w:iCs/>
          <w:lang w:val="en-US"/>
        </w:rPr>
        <w:t xml:space="preserve"> PROCEDURES FOR THE DOCTORAL PROGRAM</w:t>
      </w:r>
    </w:p>
    <w:p w14:paraId="13C6F58D" w14:textId="50F3B8C9" w:rsidR="00A7593A" w:rsidRPr="00A7593A" w:rsidRDefault="00A7593A" w:rsidP="00A7593A">
      <w:pPr>
        <w:pStyle w:val="Titolo1"/>
        <w:rPr>
          <w:i/>
          <w:iCs/>
          <w:lang w:val="en-US"/>
        </w:rPr>
      </w:pPr>
      <w:r w:rsidRPr="00A7593A">
        <w:rPr>
          <w:i/>
          <w:iCs/>
          <w:lang w:val="en-US"/>
        </w:rPr>
        <w:t xml:space="preserve">            Approved by the Doctoral School Council on June 19, 2025</w:t>
      </w:r>
    </w:p>
    <w:p w14:paraId="30548D76" w14:textId="77777777" w:rsidR="00A7593A" w:rsidRDefault="00A7593A" w:rsidP="00A7593A">
      <w:pPr>
        <w:rPr>
          <w:b/>
          <w:bCs/>
          <w:lang w:val="en-US"/>
        </w:rPr>
      </w:pPr>
    </w:p>
    <w:p w14:paraId="0BA973EF" w14:textId="77777777" w:rsidR="00A7593A" w:rsidRDefault="00A7593A" w:rsidP="00A7593A">
      <w:pPr>
        <w:rPr>
          <w:b/>
          <w:bCs/>
          <w:lang w:val="en-US"/>
        </w:rPr>
      </w:pPr>
    </w:p>
    <w:p w14:paraId="3F119155" w14:textId="77777777" w:rsidR="00A7593A" w:rsidRDefault="00A7593A" w:rsidP="00A7593A">
      <w:pPr>
        <w:rPr>
          <w:b/>
          <w:bCs/>
          <w:lang w:val="en-US"/>
        </w:rPr>
      </w:pPr>
    </w:p>
    <w:p w14:paraId="6D0B2A71" w14:textId="77777777" w:rsidR="00A7593A" w:rsidRDefault="00A7593A" w:rsidP="00A7593A">
      <w:pPr>
        <w:rPr>
          <w:b/>
          <w:bCs/>
          <w:lang w:val="en-US"/>
        </w:rPr>
      </w:pPr>
    </w:p>
    <w:p w14:paraId="171CA909" w14:textId="77777777" w:rsidR="00A7593A" w:rsidRDefault="00A7593A" w:rsidP="00A7593A">
      <w:pPr>
        <w:rPr>
          <w:b/>
          <w:bCs/>
          <w:lang w:val="en-US"/>
        </w:rPr>
      </w:pPr>
    </w:p>
    <w:p w14:paraId="6E53AFE3" w14:textId="77777777" w:rsidR="00A7593A" w:rsidRDefault="00A7593A" w:rsidP="00A7593A">
      <w:pPr>
        <w:rPr>
          <w:b/>
          <w:bCs/>
          <w:lang w:val="en-US"/>
        </w:rPr>
      </w:pPr>
    </w:p>
    <w:p w14:paraId="6CA684DE" w14:textId="77777777" w:rsidR="00A7593A" w:rsidRDefault="00A7593A" w:rsidP="00A7593A">
      <w:pPr>
        <w:rPr>
          <w:b/>
          <w:bCs/>
          <w:lang w:val="en-US"/>
        </w:rPr>
      </w:pPr>
    </w:p>
    <w:p w14:paraId="0ED0A85D" w14:textId="77777777" w:rsidR="00A7593A" w:rsidRDefault="00A7593A" w:rsidP="00A7593A">
      <w:pPr>
        <w:rPr>
          <w:b/>
          <w:bCs/>
          <w:lang w:val="en-US"/>
        </w:rPr>
      </w:pPr>
    </w:p>
    <w:p w14:paraId="6DCF1B23" w14:textId="77777777" w:rsidR="00A7593A" w:rsidRDefault="00A7593A" w:rsidP="00A7593A">
      <w:pPr>
        <w:rPr>
          <w:b/>
          <w:bCs/>
          <w:lang w:val="en-US"/>
        </w:rPr>
      </w:pPr>
    </w:p>
    <w:p w14:paraId="6A1F7BA6" w14:textId="77777777" w:rsidR="00A7593A" w:rsidRDefault="00A7593A" w:rsidP="00A7593A">
      <w:pPr>
        <w:rPr>
          <w:b/>
          <w:bCs/>
          <w:lang w:val="en-US"/>
        </w:rPr>
      </w:pPr>
    </w:p>
    <w:p w14:paraId="6B812D37" w14:textId="77777777" w:rsidR="00A7593A" w:rsidRDefault="00A7593A" w:rsidP="00A7593A">
      <w:pPr>
        <w:rPr>
          <w:b/>
          <w:bCs/>
          <w:lang w:val="en-US"/>
        </w:rPr>
      </w:pPr>
    </w:p>
    <w:p w14:paraId="72F25467" w14:textId="77777777" w:rsidR="00A7593A" w:rsidRDefault="00A7593A" w:rsidP="00A7593A">
      <w:pPr>
        <w:rPr>
          <w:b/>
          <w:bCs/>
          <w:lang w:val="en-US"/>
        </w:rPr>
      </w:pPr>
    </w:p>
    <w:p w14:paraId="7E1330EC" w14:textId="77777777" w:rsidR="00A7593A" w:rsidRDefault="00A7593A" w:rsidP="00A7593A">
      <w:pPr>
        <w:rPr>
          <w:b/>
          <w:bCs/>
          <w:lang w:val="en-US"/>
        </w:rPr>
      </w:pPr>
    </w:p>
    <w:p w14:paraId="1E6800A9" w14:textId="77777777" w:rsidR="00A7593A" w:rsidRDefault="00A7593A" w:rsidP="00A7593A">
      <w:pPr>
        <w:rPr>
          <w:b/>
          <w:bCs/>
          <w:lang w:val="en-US"/>
        </w:rPr>
      </w:pPr>
    </w:p>
    <w:p w14:paraId="49335503" w14:textId="77777777" w:rsidR="00A7593A" w:rsidRDefault="00A7593A" w:rsidP="00A7593A">
      <w:pPr>
        <w:rPr>
          <w:b/>
          <w:bCs/>
          <w:lang w:val="en-US"/>
        </w:rPr>
      </w:pPr>
    </w:p>
    <w:p w14:paraId="34B49A1B" w14:textId="77777777" w:rsidR="00A7593A" w:rsidRDefault="00A7593A" w:rsidP="00A7593A">
      <w:pPr>
        <w:rPr>
          <w:b/>
          <w:bCs/>
          <w:lang w:val="en-US"/>
        </w:rPr>
      </w:pPr>
    </w:p>
    <w:p w14:paraId="0D1C8BA1" w14:textId="77777777" w:rsidR="00A7593A" w:rsidRDefault="00A7593A" w:rsidP="00A7593A">
      <w:pPr>
        <w:rPr>
          <w:b/>
          <w:bCs/>
          <w:lang w:val="en-US"/>
        </w:rPr>
      </w:pPr>
    </w:p>
    <w:p w14:paraId="10733FAC" w14:textId="3E38E49D" w:rsidR="00A7593A" w:rsidRPr="00A7593A" w:rsidRDefault="00A7593A" w:rsidP="00A7593A">
      <w:pPr>
        <w:rPr>
          <w:lang w:val="en-US"/>
        </w:rPr>
      </w:pPr>
      <w:r w:rsidRPr="00A7593A">
        <w:rPr>
          <w:rStyle w:val="Titolo2Carattere"/>
          <w:lang w:val="en-US"/>
        </w:rPr>
        <w:t>Preamble</w:t>
      </w:r>
      <w:r w:rsidRPr="00A7593A">
        <w:rPr>
          <w:lang w:val="en-US"/>
        </w:rPr>
        <w:br/>
        <w:t>This document outlines the operating procedures for the implementation of the Doctoral Program Regulations (Operating Procedures) approved by the Academic Senate on December 19, 2023, and issued by Rectoral Decree No. 1304 on December 22, 2023, effective as of December 22, 2023.</w:t>
      </w:r>
    </w:p>
    <w:p w14:paraId="305E5EC2" w14:textId="77777777" w:rsidR="00A7593A" w:rsidRPr="00A7593A" w:rsidRDefault="00A7593A" w:rsidP="00A7593A">
      <w:pPr>
        <w:rPr>
          <w:lang w:val="en-US"/>
        </w:rPr>
      </w:pPr>
      <w:r w:rsidRPr="00A7593A">
        <w:rPr>
          <w:lang w:val="en-US"/>
        </w:rPr>
        <w:t>In its current version, this document gathers the set of operational procedures and practices that have been in force since the 29th cycle, covering the following:</w:t>
      </w:r>
    </w:p>
    <w:p w14:paraId="2F6617F0" w14:textId="77777777" w:rsidR="00A7593A" w:rsidRPr="00A7593A" w:rsidRDefault="00A7593A" w:rsidP="00A7593A">
      <w:pPr>
        <w:numPr>
          <w:ilvl w:val="0"/>
          <w:numId w:val="1"/>
        </w:numPr>
      </w:pPr>
      <w:r w:rsidRPr="00A7593A">
        <w:t>Activity Accounting System (Annex 1)</w:t>
      </w:r>
    </w:p>
    <w:p w14:paraId="7AB11565" w14:textId="77777777" w:rsidR="00A7593A" w:rsidRPr="00A7593A" w:rsidRDefault="00A7593A" w:rsidP="00A7593A">
      <w:pPr>
        <w:numPr>
          <w:ilvl w:val="0"/>
          <w:numId w:val="1"/>
        </w:numPr>
        <w:rPr>
          <w:lang w:val="en-US"/>
        </w:rPr>
      </w:pPr>
      <w:r w:rsidRPr="00A7593A">
        <w:rPr>
          <w:lang w:val="en-US"/>
        </w:rPr>
        <w:t>Procedure for Evaluation of Training Activities (Annex 2)</w:t>
      </w:r>
    </w:p>
    <w:p w14:paraId="768EC145" w14:textId="77777777" w:rsidR="00A7593A" w:rsidRPr="00A7593A" w:rsidRDefault="00A7593A" w:rsidP="00A7593A">
      <w:pPr>
        <w:numPr>
          <w:ilvl w:val="0"/>
          <w:numId w:val="1"/>
        </w:numPr>
        <w:rPr>
          <w:lang w:val="en-US"/>
        </w:rPr>
      </w:pPr>
      <w:r w:rsidRPr="00A7593A">
        <w:rPr>
          <w:lang w:val="en-US"/>
        </w:rPr>
        <w:t>Off-Site Activity Procedure (Annex 3)</w:t>
      </w:r>
    </w:p>
    <w:p w14:paraId="5D995E63" w14:textId="77777777" w:rsidR="00A7593A" w:rsidRPr="00A7593A" w:rsidRDefault="00A7593A" w:rsidP="00A7593A">
      <w:pPr>
        <w:numPr>
          <w:ilvl w:val="0"/>
          <w:numId w:val="1"/>
        </w:numPr>
        <w:rPr>
          <w:lang w:val="en-US"/>
        </w:rPr>
      </w:pPr>
      <w:r w:rsidRPr="00A7593A">
        <w:rPr>
          <w:lang w:val="en-US"/>
        </w:rPr>
        <w:t>Maternity and Paternity Leave (Annex 4)</w:t>
      </w:r>
    </w:p>
    <w:p w14:paraId="5FC6F293" w14:textId="77777777" w:rsidR="00A7593A" w:rsidRPr="00A7593A" w:rsidRDefault="00A7593A" w:rsidP="00A7593A">
      <w:pPr>
        <w:numPr>
          <w:ilvl w:val="0"/>
          <w:numId w:val="1"/>
        </w:numPr>
      </w:pPr>
      <w:r w:rsidRPr="00A7593A">
        <w:t>Management (Annex 5)</w:t>
      </w:r>
    </w:p>
    <w:p w14:paraId="6E54DFD8" w14:textId="77777777" w:rsidR="00A7593A" w:rsidRPr="00A7593A" w:rsidRDefault="00A7593A" w:rsidP="00A7593A">
      <w:pPr>
        <w:rPr>
          <w:lang w:val="en-US"/>
        </w:rPr>
      </w:pPr>
      <w:r w:rsidRPr="00A7593A">
        <w:rPr>
          <w:lang w:val="en-US"/>
        </w:rPr>
        <w:t>These documents are reproduced here verbatim as annexes and</w:t>
      </w:r>
      <w:r w:rsidRPr="00A7593A">
        <w:rPr>
          <w:color w:val="2E74B5" w:themeColor="accent5" w:themeShade="BF"/>
          <w:lang w:val="en-US"/>
        </w:rPr>
        <w:t xml:space="preserve"> are highlighted in blue</w:t>
      </w:r>
      <w:r w:rsidRPr="00A7593A">
        <w:rPr>
          <w:lang w:val="en-US"/>
        </w:rPr>
        <w:t>, along with the corresponding references in the University Regulations, with the exception of Annex 5. Annex 5 has been created as a new document to collect operating procedures not yet officially documented (either because they were described in other unrelated documentation or stem from standard practices of the School).</w:t>
      </w:r>
    </w:p>
    <w:p w14:paraId="491C57A1" w14:textId="77777777" w:rsidR="00A7593A" w:rsidRPr="00A7593A" w:rsidRDefault="00A7593A" w:rsidP="00A7593A">
      <w:pPr>
        <w:rPr>
          <w:lang w:val="en-US"/>
        </w:rPr>
      </w:pPr>
      <w:r w:rsidRPr="00A7593A">
        <w:rPr>
          <w:lang w:val="en-US"/>
        </w:rPr>
        <w:t>In addition to the University’s Doctoral Program Regulations, individual Doctoral Programs may adopt their own internal regulations, which must be approved by the Academic Senate upon the opinion of the Board of Administration and the Doctoral School Council. In the case of a conflict between these internal regulations and the contents of Annexes 1–5, the internal regulations take precedence.</w:t>
      </w:r>
    </w:p>
    <w:p w14:paraId="5F5AA68F" w14:textId="77777777" w:rsidR="00A7593A" w:rsidRPr="00A7593A" w:rsidRDefault="00A7593A" w:rsidP="00A7593A">
      <w:pPr>
        <w:rPr>
          <w:lang w:val="en-US"/>
        </w:rPr>
      </w:pPr>
      <w:r w:rsidRPr="00A7593A">
        <w:rPr>
          <w:lang w:val="en-US"/>
        </w:rPr>
        <w:t xml:space="preserve">This document also includes a new set of operating procedures, effective from the 38th cycle, concerning extensions of the doctoral program duration and the organization of the final examination (Annex 6). The content of Annex 6 replaces all previous procedures related to the doctoral final examination (starting from the 38th cycle) and introduces a new set of procedures for managing extensions of the doctoral program. </w:t>
      </w:r>
      <w:r w:rsidRPr="00A7593A">
        <w:rPr>
          <w:color w:val="EE0000"/>
          <w:lang w:val="en-US"/>
        </w:rPr>
        <w:t xml:space="preserve">This annex is highlighted in red below, </w:t>
      </w:r>
      <w:r w:rsidRPr="00A7593A">
        <w:rPr>
          <w:lang w:val="en-US"/>
        </w:rPr>
        <w:t>along with the corresponding references in the University Regulations.</w:t>
      </w:r>
    </w:p>
    <w:p w14:paraId="33B4AB72" w14:textId="2C2A55AE" w:rsidR="00A7593A" w:rsidRPr="00CC44BF" w:rsidRDefault="00A7593A" w:rsidP="00A7593A">
      <w:pPr>
        <w:rPr>
          <w:lang w:val="en-US"/>
        </w:rPr>
      </w:pPr>
    </w:p>
    <w:p w14:paraId="3521F2AE" w14:textId="77777777" w:rsidR="00A7593A" w:rsidRPr="00A7593A" w:rsidRDefault="00A7593A" w:rsidP="00A7593A">
      <w:pPr>
        <w:pStyle w:val="Titolo2"/>
      </w:pPr>
      <w:r w:rsidRPr="00A7593A">
        <w:t>List of Annexes</w:t>
      </w:r>
    </w:p>
    <w:p w14:paraId="7267D4E0" w14:textId="77777777" w:rsidR="00A7593A" w:rsidRPr="00A7593A" w:rsidRDefault="00A7593A" w:rsidP="00A7593A">
      <w:pPr>
        <w:numPr>
          <w:ilvl w:val="0"/>
          <w:numId w:val="2"/>
        </w:numPr>
        <w:rPr>
          <w:color w:val="2E74B5" w:themeColor="accent5" w:themeShade="BF"/>
          <w:lang w:val="en-US"/>
        </w:rPr>
      </w:pPr>
      <w:r w:rsidRPr="00A7593A">
        <w:rPr>
          <w:b/>
          <w:bCs/>
          <w:color w:val="2E74B5" w:themeColor="accent5" w:themeShade="BF"/>
          <w:lang w:val="en-US"/>
        </w:rPr>
        <w:t>Annex 1</w:t>
      </w:r>
      <w:r w:rsidRPr="00A7593A">
        <w:rPr>
          <w:color w:val="2E74B5" w:themeColor="accent5" w:themeShade="BF"/>
          <w:lang w:val="en-US"/>
        </w:rPr>
        <w:t>: Activity Accounting System (Art. 12.3)</w:t>
      </w:r>
    </w:p>
    <w:p w14:paraId="145E8326" w14:textId="77777777" w:rsidR="00A7593A" w:rsidRPr="00A7593A" w:rsidRDefault="00A7593A" w:rsidP="00A7593A">
      <w:pPr>
        <w:numPr>
          <w:ilvl w:val="0"/>
          <w:numId w:val="2"/>
        </w:numPr>
        <w:rPr>
          <w:color w:val="2E74B5" w:themeColor="accent5" w:themeShade="BF"/>
          <w:lang w:val="en-US"/>
        </w:rPr>
      </w:pPr>
      <w:r w:rsidRPr="00A7593A">
        <w:rPr>
          <w:b/>
          <w:bCs/>
          <w:color w:val="2E74B5" w:themeColor="accent5" w:themeShade="BF"/>
          <w:lang w:val="en-US"/>
        </w:rPr>
        <w:t>Annex 2</w:t>
      </w:r>
      <w:r w:rsidRPr="00A7593A">
        <w:rPr>
          <w:color w:val="2E74B5" w:themeColor="accent5" w:themeShade="BF"/>
          <w:lang w:val="en-US"/>
        </w:rPr>
        <w:t>: Procedure for Evaluation of Training Activities (Art. 12.5)</w:t>
      </w:r>
    </w:p>
    <w:p w14:paraId="08DA0055" w14:textId="77777777" w:rsidR="00A7593A" w:rsidRPr="00A7593A" w:rsidRDefault="00A7593A" w:rsidP="00A7593A">
      <w:pPr>
        <w:numPr>
          <w:ilvl w:val="0"/>
          <w:numId w:val="2"/>
        </w:numPr>
        <w:rPr>
          <w:color w:val="2E74B5" w:themeColor="accent5" w:themeShade="BF"/>
          <w:lang w:val="en-US"/>
        </w:rPr>
      </w:pPr>
      <w:r w:rsidRPr="00A7593A">
        <w:rPr>
          <w:b/>
          <w:bCs/>
          <w:color w:val="2E74B5" w:themeColor="accent5" w:themeShade="BF"/>
          <w:lang w:val="en-US"/>
        </w:rPr>
        <w:t>Annex 3</w:t>
      </w:r>
      <w:r w:rsidRPr="00A7593A">
        <w:rPr>
          <w:color w:val="2E74B5" w:themeColor="accent5" w:themeShade="BF"/>
          <w:lang w:val="en-US"/>
        </w:rPr>
        <w:t>: Off-Site Activity Procedure (Art. 12.5)</w:t>
      </w:r>
    </w:p>
    <w:p w14:paraId="2E4B60D9" w14:textId="77777777" w:rsidR="00A7593A" w:rsidRPr="00A7593A" w:rsidRDefault="00A7593A" w:rsidP="00A7593A">
      <w:pPr>
        <w:numPr>
          <w:ilvl w:val="0"/>
          <w:numId w:val="2"/>
        </w:numPr>
        <w:rPr>
          <w:color w:val="2E74B5" w:themeColor="accent5" w:themeShade="BF"/>
          <w:lang w:val="en-US"/>
        </w:rPr>
      </w:pPr>
      <w:r w:rsidRPr="00A7593A">
        <w:rPr>
          <w:b/>
          <w:bCs/>
          <w:color w:val="2E74B5" w:themeColor="accent5" w:themeShade="BF"/>
          <w:lang w:val="en-US"/>
        </w:rPr>
        <w:t>Annex 4</w:t>
      </w:r>
      <w:r w:rsidRPr="00A7593A">
        <w:rPr>
          <w:color w:val="2E74B5" w:themeColor="accent5" w:themeShade="BF"/>
          <w:lang w:val="en-US"/>
        </w:rPr>
        <w:t>: Maternity and Paternity Leave (Art. 27.3)</w:t>
      </w:r>
    </w:p>
    <w:p w14:paraId="1CCF1F81" w14:textId="77777777" w:rsidR="00A7593A" w:rsidRPr="00A7593A" w:rsidRDefault="00A7593A" w:rsidP="00A7593A">
      <w:pPr>
        <w:numPr>
          <w:ilvl w:val="0"/>
          <w:numId w:val="2"/>
        </w:numPr>
      </w:pPr>
      <w:r w:rsidRPr="00A7593A">
        <w:rPr>
          <w:b/>
          <w:bCs/>
        </w:rPr>
        <w:t>Annex 5</w:t>
      </w:r>
      <w:r w:rsidRPr="00A7593A">
        <w:t>: Management (Arts. 6.8, 9.2, 21.3, 24.1, 28.5, 38)</w:t>
      </w:r>
    </w:p>
    <w:p w14:paraId="50F853F4" w14:textId="77777777" w:rsidR="00A7593A" w:rsidRPr="00A7593A" w:rsidRDefault="00A7593A" w:rsidP="00A7593A">
      <w:pPr>
        <w:numPr>
          <w:ilvl w:val="0"/>
          <w:numId w:val="2"/>
        </w:numPr>
        <w:rPr>
          <w:b/>
          <w:bCs/>
          <w:color w:val="EE0000"/>
          <w:lang w:val="en-US"/>
        </w:rPr>
      </w:pPr>
      <w:r w:rsidRPr="00A7593A">
        <w:rPr>
          <w:b/>
          <w:bCs/>
          <w:color w:val="EE0000"/>
          <w:lang w:val="en-US"/>
        </w:rPr>
        <w:t>Annex 6: Extension of Doctoral Program Duration and Organization of the Final Examination (Arts. 35–36–37)</w:t>
      </w:r>
    </w:p>
    <w:p w14:paraId="61B9AB67" w14:textId="6053E153" w:rsidR="00A7593A" w:rsidRPr="00CC44BF" w:rsidRDefault="00A7593A" w:rsidP="00A7593A">
      <w:pPr>
        <w:rPr>
          <w:lang w:val="en-US"/>
        </w:rPr>
      </w:pPr>
    </w:p>
    <w:p w14:paraId="2AF1809C" w14:textId="77777777" w:rsidR="00A7593A" w:rsidRPr="00A7593A" w:rsidRDefault="00A7593A" w:rsidP="00A7593A">
      <w:pPr>
        <w:pStyle w:val="Titolo2"/>
        <w:rPr>
          <w:lang w:val="en-US"/>
        </w:rPr>
      </w:pPr>
      <w:r w:rsidRPr="00A7593A">
        <w:rPr>
          <w:lang w:val="en-US"/>
        </w:rPr>
        <w:t>References to the Doctoral Program Regulations</w:t>
      </w:r>
    </w:p>
    <w:p w14:paraId="0DDFB39F" w14:textId="77777777" w:rsidR="00A7593A" w:rsidRPr="00A7593A" w:rsidRDefault="00A7593A" w:rsidP="00A7593A">
      <w:pPr>
        <w:numPr>
          <w:ilvl w:val="0"/>
          <w:numId w:val="3"/>
        </w:numPr>
        <w:rPr>
          <w:lang w:val="en-US"/>
        </w:rPr>
      </w:pPr>
      <w:r w:rsidRPr="00A7593A">
        <w:rPr>
          <w:b/>
          <w:bCs/>
          <w:lang w:val="en-US"/>
        </w:rPr>
        <w:t>Art. 6.8</w:t>
      </w:r>
      <w:r w:rsidRPr="00A7593A">
        <w:rPr>
          <w:lang w:val="en-US"/>
        </w:rPr>
        <w:t>: Renewal schedule for Doctoral Programs (Annex 5)</w:t>
      </w:r>
    </w:p>
    <w:p w14:paraId="59FA9129" w14:textId="77777777" w:rsidR="00A7593A" w:rsidRPr="00A7593A" w:rsidRDefault="00A7593A" w:rsidP="00A7593A">
      <w:pPr>
        <w:numPr>
          <w:ilvl w:val="0"/>
          <w:numId w:val="3"/>
        </w:numPr>
        <w:rPr>
          <w:lang w:val="en-US"/>
        </w:rPr>
      </w:pPr>
      <w:r w:rsidRPr="00A7593A">
        <w:rPr>
          <w:b/>
          <w:bCs/>
          <w:lang w:val="en-US"/>
        </w:rPr>
        <w:t>Art. 9.2.11</w:t>
      </w:r>
      <w:r w:rsidRPr="00A7593A">
        <w:rPr>
          <w:lang w:val="en-US"/>
        </w:rPr>
        <w:t>: Activities of the Academic Board (Annex 5)</w:t>
      </w:r>
    </w:p>
    <w:p w14:paraId="7C9FA6C9" w14:textId="77777777" w:rsidR="00A7593A" w:rsidRPr="00A7593A" w:rsidRDefault="00A7593A" w:rsidP="00A7593A">
      <w:pPr>
        <w:numPr>
          <w:ilvl w:val="0"/>
          <w:numId w:val="3"/>
        </w:numPr>
        <w:rPr>
          <w:color w:val="2E74B5" w:themeColor="accent5" w:themeShade="BF"/>
          <w:lang w:val="en-US"/>
        </w:rPr>
      </w:pPr>
      <w:r w:rsidRPr="00A7593A">
        <w:rPr>
          <w:b/>
          <w:bCs/>
          <w:color w:val="2E74B5" w:themeColor="accent5" w:themeShade="BF"/>
          <w:lang w:val="en-US"/>
        </w:rPr>
        <w:t>Art. 12.3</w:t>
      </w:r>
      <w:r w:rsidRPr="00A7593A">
        <w:rPr>
          <w:color w:val="2E74B5" w:themeColor="accent5" w:themeShade="BF"/>
          <w:lang w:val="en-US"/>
        </w:rPr>
        <w:t>: Minimum training and research requirements (Annex 1)</w:t>
      </w:r>
    </w:p>
    <w:p w14:paraId="13CE6582" w14:textId="77777777" w:rsidR="00A7593A" w:rsidRPr="00A7593A" w:rsidRDefault="00A7593A" w:rsidP="00A7593A">
      <w:pPr>
        <w:numPr>
          <w:ilvl w:val="0"/>
          <w:numId w:val="3"/>
        </w:numPr>
        <w:rPr>
          <w:color w:val="2E74B5" w:themeColor="accent5" w:themeShade="BF"/>
          <w:lang w:val="en-US"/>
        </w:rPr>
      </w:pPr>
      <w:r w:rsidRPr="00A7593A">
        <w:rPr>
          <w:b/>
          <w:bCs/>
          <w:color w:val="2E74B5" w:themeColor="accent5" w:themeShade="BF"/>
          <w:lang w:val="en-US"/>
        </w:rPr>
        <w:t>Art. 12.5</w:t>
      </w:r>
      <w:r w:rsidRPr="00A7593A">
        <w:rPr>
          <w:color w:val="2E74B5" w:themeColor="accent5" w:themeShade="BF"/>
          <w:lang w:val="en-US"/>
        </w:rPr>
        <w:t>: Authorization of external training activities (Annexes 2 and 3)</w:t>
      </w:r>
    </w:p>
    <w:p w14:paraId="7018E2B2" w14:textId="77777777" w:rsidR="00A7593A" w:rsidRPr="00A7593A" w:rsidRDefault="00A7593A" w:rsidP="00A7593A">
      <w:pPr>
        <w:numPr>
          <w:ilvl w:val="0"/>
          <w:numId w:val="3"/>
        </w:numPr>
      </w:pPr>
      <w:r w:rsidRPr="00A7593A">
        <w:rPr>
          <w:b/>
          <w:bCs/>
        </w:rPr>
        <w:lastRenderedPageBreak/>
        <w:t>Art. 21.3</w:t>
      </w:r>
      <w:r w:rsidRPr="00A7593A">
        <w:t>: Co-supervisions (Annex 5)</w:t>
      </w:r>
    </w:p>
    <w:p w14:paraId="05BDC8E5" w14:textId="77777777" w:rsidR="00A7593A" w:rsidRPr="00A7593A" w:rsidRDefault="00A7593A" w:rsidP="00A7593A">
      <w:pPr>
        <w:numPr>
          <w:ilvl w:val="0"/>
          <w:numId w:val="3"/>
        </w:numPr>
      </w:pPr>
      <w:r w:rsidRPr="00A7593A">
        <w:rPr>
          <w:b/>
          <w:bCs/>
        </w:rPr>
        <w:t>Art. 24.1</w:t>
      </w:r>
      <w:r w:rsidRPr="00A7593A">
        <w:t>: Admission call (Annex 5)</w:t>
      </w:r>
    </w:p>
    <w:p w14:paraId="5CD0A0FA" w14:textId="77777777" w:rsidR="00A7593A" w:rsidRPr="00A7593A" w:rsidRDefault="00A7593A" w:rsidP="00A7593A">
      <w:pPr>
        <w:numPr>
          <w:ilvl w:val="0"/>
          <w:numId w:val="3"/>
        </w:numPr>
        <w:rPr>
          <w:color w:val="2E74B5" w:themeColor="accent5" w:themeShade="BF"/>
          <w:lang w:val="en-US"/>
        </w:rPr>
      </w:pPr>
      <w:r w:rsidRPr="00A7593A">
        <w:rPr>
          <w:b/>
          <w:bCs/>
          <w:color w:val="2E74B5" w:themeColor="accent5" w:themeShade="BF"/>
          <w:lang w:val="en-US"/>
        </w:rPr>
        <w:t>Art. 27.3</w:t>
      </w:r>
      <w:r w:rsidRPr="00A7593A">
        <w:rPr>
          <w:color w:val="2E74B5" w:themeColor="accent5" w:themeShade="BF"/>
          <w:lang w:val="en-US"/>
        </w:rPr>
        <w:t>: Maternity and paternity (Annex 4)</w:t>
      </w:r>
    </w:p>
    <w:p w14:paraId="4ABC81F8" w14:textId="77777777" w:rsidR="00A7593A" w:rsidRPr="00A7593A" w:rsidRDefault="00A7593A" w:rsidP="00A7593A">
      <w:pPr>
        <w:numPr>
          <w:ilvl w:val="0"/>
          <w:numId w:val="3"/>
        </w:numPr>
        <w:rPr>
          <w:lang w:val="en-US"/>
        </w:rPr>
      </w:pPr>
      <w:r w:rsidRPr="00A7593A">
        <w:rPr>
          <w:b/>
          <w:bCs/>
          <w:lang w:val="en-US"/>
        </w:rPr>
        <w:t>Art. 28.5</w:t>
      </w:r>
      <w:r w:rsidRPr="00A7593A">
        <w:rPr>
          <w:lang w:val="en-US"/>
        </w:rPr>
        <w:t>: Withdrawal from studies (Annex 5)</w:t>
      </w:r>
    </w:p>
    <w:p w14:paraId="3CD2D731" w14:textId="77777777" w:rsidR="00A7593A" w:rsidRPr="00A7593A" w:rsidRDefault="00A7593A" w:rsidP="00A7593A">
      <w:pPr>
        <w:numPr>
          <w:ilvl w:val="0"/>
          <w:numId w:val="3"/>
        </w:numPr>
        <w:jc w:val="both"/>
        <w:rPr>
          <w:color w:val="EE0000"/>
          <w:lang w:val="en-US"/>
        </w:rPr>
      </w:pPr>
      <w:r w:rsidRPr="00A7593A">
        <w:rPr>
          <w:b/>
          <w:bCs/>
          <w:color w:val="EE0000"/>
          <w:lang w:val="en-US"/>
        </w:rPr>
        <w:t>Art. 35</w:t>
      </w:r>
      <w:r w:rsidRPr="00A7593A">
        <w:rPr>
          <w:color w:val="EE0000"/>
          <w:lang w:val="en-US"/>
        </w:rPr>
        <w:t>: Doctoral thesis evaluation and admission to the final exam (Annex 6)</w:t>
      </w:r>
    </w:p>
    <w:p w14:paraId="7F96534E" w14:textId="77777777" w:rsidR="00A7593A" w:rsidRPr="00A7593A" w:rsidRDefault="00A7593A" w:rsidP="00A7593A">
      <w:pPr>
        <w:numPr>
          <w:ilvl w:val="0"/>
          <w:numId w:val="3"/>
        </w:numPr>
        <w:jc w:val="both"/>
        <w:rPr>
          <w:color w:val="EE0000"/>
        </w:rPr>
      </w:pPr>
      <w:r w:rsidRPr="00A7593A">
        <w:rPr>
          <w:b/>
          <w:bCs/>
          <w:color w:val="EE0000"/>
        </w:rPr>
        <w:t>Art. 36</w:t>
      </w:r>
      <w:r w:rsidRPr="00A7593A">
        <w:rPr>
          <w:color w:val="EE0000"/>
        </w:rPr>
        <w:t>: Extensions (Annex 6)</w:t>
      </w:r>
    </w:p>
    <w:p w14:paraId="4506D5BD" w14:textId="77777777" w:rsidR="00A7593A" w:rsidRPr="00A7593A" w:rsidRDefault="00A7593A" w:rsidP="00A7593A">
      <w:pPr>
        <w:numPr>
          <w:ilvl w:val="0"/>
          <w:numId w:val="3"/>
        </w:numPr>
        <w:jc w:val="both"/>
        <w:rPr>
          <w:color w:val="EE0000"/>
        </w:rPr>
      </w:pPr>
      <w:r w:rsidRPr="00A7593A">
        <w:rPr>
          <w:b/>
          <w:bCs/>
          <w:color w:val="EE0000"/>
        </w:rPr>
        <w:t>Art. 37</w:t>
      </w:r>
      <w:r w:rsidRPr="00A7593A">
        <w:rPr>
          <w:color w:val="EE0000"/>
        </w:rPr>
        <w:t>: Final examination (Annex 6)</w:t>
      </w:r>
    </w:p>
    <w:p w14:paraId="32429DFC" w14:textId="77777777" w:rsidR="00A7593A" w:rsidRPr="00A7593A" w:rsidRDefault="00A7593A" w:rsidP="00A7593A">
      <w:pPr>
        <w:numPr>
          <w:ilvl w:val="0"/>
          <w:numId w:val="3"/>
        </w:numPr>
      </w:pPr>
      <w:r w:rsidRPr="00A7593A">
        <w:rPr>
          <w:b/>
          <w:bCs/>
        </w:rPr>
        <w:t>Art. 38</w:t>
      </w:r>
      <w:r w:rsidRPr="00A7593A">
        <w:t>: Academic year (Annex 5)</w:t>
      </w:r>
    </w:p>
    <w:p w14:paraId="7DE2466B" w14:textId="28F7D278" w:rsidR="00CA5BB1" w:rsidRDefault="00CA5BB1"/>
    <w:sectPr w:rsidR="00CA5BB1" w:rsidSect="008975A9">
      <w:pgSz w:w="11910" w:h="16840"/>
      <w:pgMar w:top="920" w:right="425" w:bottom="280" w:left="283"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06F0D"/>
    <w:multiLevelType w:val="multilevel"/>
    <w:tmpl w:val="18D8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D208F0"/>
    <w:multiLevelType w:val="multilevel"/>
    <w:tmpl w:val="0878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CF5DD2"/>
    <w:multiLevelType w:val="multilevel"/>
    <w:tmpl w:val="0886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4706392">
    <w:abstractNumId w:val="0"/>
  </w:num>
  <w:num w:numId="2" w16cid:durableId="1590575426">
    <w:abstractNumId w:val="2"/>
  </w:num>
  <w:num w:numId="3" w16cid:durableId="2055537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3A"/>
    <w:rsid w:val="000C5815"/>
    <w:rsid w:val="004B4594"/>
    <w:rsid w:val="005A6061"/>
    <w:rsid w:val="005C2AF9"/>
    <w:rsid w:val="0063008A"/>
    <w:rsid w:val="008975A9"/>
    <w:rsid w:val="0092267D"/>
    <w:rsid w:val="00937D65"/>
    <w:rsid w:val="009F10BB"/>
    <w:rsid w:val="00A34881"/>
    <w:rsid w:val="00A7593A"/>
    <w:rsid w:val="00B21F34"/>
    <w:rsid w:val="00BF64AB"/>
    <w:rsid w:val="00C130E3"/>
    <w:rsid w:val="00CA5BB1"/>
    <w:rsid w:val="00CC2D6E"/>
    <w:rsid w:val="00CC44BF"/>
    <w:rsid w:val="00CF234F"/>
    <w:rsid w:val="00D3298E"/>
    <w:rsid w:val="00DE76AF"/>
    <w:rsid w:val="00E34E63"/>
    <w:rsid w:val="00EA2C74"/>
    <w:rsid w:val="00F06D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0166"/>
  <w15:chartTrackingRefBased/>
  <w15:docId w15:val="{0C4FE6D5-CD5B-432E-920B-89E29CBA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759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rsid w:val="00A759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7593A"/>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7593A"/>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7593A"/>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A7593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7593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7593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7593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7593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rsid w:val="00A7593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A7593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A7593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A7593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A7593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7593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7593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7593A"/>
    <w:rPr>
      <w:rFonts w:eastAsiaTheme="majorEastAsia" w:cstheme="majorBidi"/>
      <w:color w:val="272727" w:themeColor="text1" w:themeTint="D8"/>
    </w:rPr>
  </w:style>
  <w:style w:type="paragraph" w:styleId="Titolo">
    <w:name w:val="Title"/>
    <w:basedOn w:val="Normale"/>
    <w:next w:val="Normale"/>
    <w:link w:val="TitoloCarattere"/>
    <w:uiPriority w:val="10"/>
    <w:qFormat/>
    <w:rsid w:val="00A75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7593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7593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7593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7593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7593A"/>
    <w:rPr>
      <w:i/>
      <w:iCs/>
      <w:color w:val="404040" w:themeColor="text1" w:themeTint="BF"/>
    </w:rPr>
  </w:style>
  <w:style w:type="paragraph" w:styleId="Paragrafoelenco">
    <w:name w:val="List Paragraph"/>
    <w:basedOn w:val="Normale"/>
    <w:uiPriority w:val="34"/>
    <w:qFormat/>
    <w:rsid w:val="00A7593A"/>
    <w:pPr>
      <w:ind w:left="720"/>
      <w:contextualSpacing/>
    </w:pPr>
  </w:style>
  <w:style w:type="character" w:styleId="Enfasiintensa">
    <w:name w:val="Intense Emphasis"/>
    <w:basedOn w:val="Carpredefinitoparagrafo"/>
    <w:uiPriority w:val="21"/>
    <w:qFormat/>
    <w:rsid w:val="00A7593A"/>
    <w:rPr>
      <w:i/>
      <w:iCs/>
      <w:color w:val="2F5496" w:themeColor="accent1" w:themeShade="BF"/>
    </w:rPr>
  </w:style>
  <w:style w:type="paragraph" w:styleId="Citazioneintensa">
    <w:name w:val="Intense Quote"/>
    <w:basedOn w:val="Normale"/>
    <w:next w:val="Normale"/>
    <w:link w:val="CitazioneintensaCarattere"/>
    <w:uiPriority w:val="30"/>
    <w:qFormat/>
    <w:rsid w:val="00A75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7593A"/>
    <w:rPr>
      <w:i/>
      <w:iCs/>
      <w:color w:val="2F5496" w:themeColor="accent1" w:themeShade="BF"/>
    </w:rPr>
  </w:style>
  <w:style w:type="character" w:styleId="Riferimentointenso">
    <w:name w:val="Intense Reference"/>
    <w:basedOn w:val="Carpredefinitoparagrafo"/>
    <w:uiPriority w:val="32"/>
    <w:qFormat/>
    <w:rsid w:val="00A759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561003">
      <w:bodyDiv w:val="1"/>
      <w:marLeft w:val="0"/>
      <w:marRight w:val="0"/>
      <w:marTop w:val="0"/>
      <w:marBottom w:val="0"/>
      <w:divBdr>
        <w:top w:val="none" w:sz="0" w:space="0" w:color="auto"/>
        <w:left w:val="none" w:sz="0" w:space="0" w:color="auto"/>
        <w:bottom w:val="none" w:sz="0" w:space="0" w:color="auto"/>
        <w:right w:val="none" w:sz="0" w:space="0" w:color="auto"/>
      </w:divBdr>
    </w:div>
    <w:div w:id="142746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2736</Characters>
  <Application>Microsoft Office Word</Application>
  <DocSecurity>4</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Fontanella</dc:creator>
  <cp:keywords/>
  <dc:description/>
  <cp:lastModifiedBy>Marinella  Ferrero</cp:lastModifiedBy>
  <cp:revision>2</cp:revision>
  <dcterms:created xsi:type="dcterms:W3CDTF">2025-06-25T10:12:00Z</dcterms:created>
  <dcterms:modified xsi:type="dcterms:W3CDTF">2025-06-25T10:12:00Z</dcterms:modified>
</cp:coreProperties>
</file>